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Indent3"/>
        <w:ind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Материально-техническое обеспечение и оснащенность </w:t>
      </w:r>
    </w:p>
    <w:p>
      <w:pPr>
        <w:pStyle w:val="BodyTextIndent3"/>
        <w:ind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образовательного процесса</w:t>
      </w:r>
    </w:p>
    <w:p>
      <w:pPr>
        <w:pStyle w:val="BodyTextIndent3"/>
        <w:ind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BodyTextIndent3"/>
        <w:ind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Сведения об оборудованных учебных кабинетах:</w:t>
      </w:r>
    </w:p>
    <w:p>
      <w:pPr>
        <w:pStyle w:val="Normal"/>
        <w:spacing w:lineRule="auto" w:line="240" w:before="120" w:after="0"/>
        <w:jc w:val="both"/>
        <w:rPr>
          <w:rFonts w:ascii="Times New Roman" w:hAnsi="Times New Roman" w:eastAsia="Times New Roman"/>
          <w:i/>
          <w:i/>
          <w:sz w:val="28"/>
          <w:szCs w:val="28"/>
          <w:u w:val="single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Сведения о наличии в собственности или на ином законном основании оборудованных учебных кабинетов </w:t>
      </w:r>
      <w:r>
        <w:rPr>
          <w:rFonts w:eastAsia="Times New Roman" w:ascii="Times New Roman" w:hAnsi="Times New Roman"/>
          <w:i/>
          <w:sz w:val="28"/>
          <w:szCs w:val="28"/>
          <w:u w:val="single"/>
          <w:lang w:eastAsia="ru-RU"/>
        </w:rPr>
        <w:t>находятся в оперативном управлении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i/>
          <w:sz w:val="28"/>
          <w:szCs w:val="28"/>
          <w:u w:val="single"/>
          <w:lang w:eastAsia="ru-RU"/>
        </w:rPr>
        <w:t>договор № 19/13 ЮФО от 23.12.2011г.</w:t>
      </w:r>
    </w:p>
    <w:p>
      <w:pPr>
        <w:pStyle w:val="Normal"/>
        <w:spacing w:lineRule="auto" w:line="240" w:before="0" w:after="120"/>
        <w:rPr>
          <w:rFonts w:ascii="Times New Roman" w:hAnsi="Times New Roman" w:eastAsia="Times New Roman"/>
          <w:sz w:val="28"/>
          <w:szCs w:val="28"/>
          <w:u w:val="single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Количество оборудованных учебных кабинетов - </w:t>
      </w:r>
      <w:r>
        <w:rPr>
          <w:rFonts w:eastAsia="Times New Roman" w:ascii="Times New Roman" w:hAnsi="Times New Roman"/>
          <w:sz w:val="28"/>
          <w:szCs w:val="28"/>
          <w:u w:val="single"/>
          <w:lang w:eastAsia="ru-RU"/>
        </w:rPr>
        <w:t>8 (восемь)</w:t>
      </w:r>
    </w:p>
    <w:tbl>
      <w:tblPr>
        <w:tblW w:w="98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16"/>
        <w:gridCol w:w="5036"/>
        <w:gridCol w:w="1769"/>
        <w:gridCol w:w="2232"/>
      </w:tblGrid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Оборудованные учебные кабинеты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 (кв. м)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посадочных мест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ПДД     кабинет № 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48,8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У и ТОТС кат. «А» и «В»    кабинет № 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38,6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У и ТОТС  кат. «С» кабинет № 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Основ законодательства в сфере    дорожного движения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Компьютерный класс. кабинет № 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71,0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15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У и ТОТС     кабинет № 13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70,6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Компьютерный класс     кабинет № 14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47,2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Медицинской подготовки кабинет № 18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31,4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кат. «Д»     кабинет № 21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51,9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</w:tbl>
    <w:p>
      <w:pPr>
        <w:pStyle w:val="Normal"/>
        <w:spacing w:lineRule="auto" w:line="240" w:before="12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 наличии имеется 2 компьютерных класса по 15 посадочных мест. Для изучения ПДД и проведения школьных экзаменов.</w:t>
      </w:r>
    </w:p>
    <w:p>
      <w:pPr>
        <w:pStyle w:val="Normal"/>
        <w:spacing w:lineRule="auto" w:line="240" w:before="12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Все кабинеты оснащены наглядными пособиями, проекторами для показа учебных фильмов и презентаций.</w:t>
      </w:r>
    </w:p>
    <w:p>
      <w:pPr>
        <w:pStyle w:val="Normal"/>
        <w:spacing w:lineRule="auto" w:line="240" w:before="12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6719570" cy="399097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9879" t="28583" r="20580" b="1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120"/>
        <w:ind w:left="360" w:hanging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120" w:after="120"/>
        <w:ind w:left="360" w:hanging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120" w:after="120"/>
        <w:ind w:left="360" w:hanging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/>
        <w:drawing>
          <wp:inline distT="0" distB="0" distL="0" distR="0">
            <wp:extent cx="6206490" cy="381127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0474" t="27500" r="20865" b="1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120"/>
        <w:ind w:left="360" w:hanging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Сведения о закрытой площадке или автодроме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Сведения о наличии в собственности или на ином законном основании закрытых площадок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в собственности бессрочно Свидетельство № 767 от 24 июня 1992 г. Постановление Главы Администрации № 279 </w:t>
      </w:r>
      <w:r>
        <w:rPr>
          <w:rFonts w:ascii="Times New Roman" w:hAnsi="Times New Roman"/>
          <w:i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left="36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(реквизиты правоустанавливающих документов, срок действия)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Размеры закрытой площадки или автодрома  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закрытая площадка 0,26 га. </w:t>
      </w:r>
      <w:r>
        <w:rPr>
          <w:rFonts w:ascii="Times New Roman" w:hAnsi="Times New Roman"/>
          <w:i/>
          <w:sz w:val="28"/>
          <w:szCs w:val="28"/>
        </w:rPr>
        <w:t>____________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соответствии с правоустанавливающими документами и итогами фактического обследования)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ровного и однородного асфальто- или цементобетонное покрытия, обеспечивающее круглогодичное функционирование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   </w:t>
      </w:r>
      <w:r>
        <w:rPr>
          <w:rFonts w:ascii="Times New Roman" w:hAnsi="Times New Roman"/>
          <w:i/>
          <w:sz w:val="28"/>
          <w:szCs w:val="28"/>
          <w:u w:val="single"/>
        </w:rPr>
        <w:t>асфальтовое покрытие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  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  <w:r>
        <w:rPr>
          <w:rFonts w:ascii="Times New Roman" w:hAnsi="Times New Roman"/>
          <w:i/>
          <w:sz w:val="28"/>
          <w:szCs w:val="28"/>
        </w:rPr>
        <w:t>___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наклонного участка (эстакады) с продольным уклоном в пределах 8–16%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  <w:r>
        <w:rPr>
          <w:rFonts w:ascii="Times New Roman" w:hAnsi="Times New Roman"/>
          <w:i/>
          <w:sz w:val="28"/>
          <w:szCs w:val="28"/>
        </w:rPr>
        <w:t>___</w:t>
      </w:r>
      <w:r>
        <w:rPr>
          <w:rFonts w:ascii="Times New Roman" w:hAnsi="Times New Roman"/>
          <w:i/>
          <w:sz w:val="28"/>
          <w:szCs w:val="28"/>
          <w:u w:val="single"/>
        </w:rPr>
        <w:t>14%</w:t>
      </w:r>
      <w:r>
        <w:rPr>
          <w:rFonts w:ascii="Times New Roman" w:hAnsi="Times New Roman"/>
          <w:i/>
          <w:sz w:val="28"/>
          <w:szCs w:val="28"/>
        </w:rPr>
        <w:t>_</w:t>
      </w:r>
    </w:p>
    <w:p>
      <w:pPr>
        <w:pStyle w:val="Normal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360" w:hanging="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293485" cy="372554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569" t="27500" r="20707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360" w:hanging="0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    </w:t>
      </w:r>
      <w:r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i/>
          <w:sz w:val="28"/>
          <w:szCs w:val="28"/>
          <w:u w:val="single"/>
        </w:rPr>
        <w:t>оответствуют</w:t>
      </w:r>
      <w:r>
        <w:rPr>
          <w:rFonts w:ascii="Times New Roman" w:hAnsi="Times New Roman"/>
          <w:i/>
          <w:sz w:val="28"/>
          <w:szCs w:val="28"/>
        </w:rPr>
        <w:t>___________________________________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сцепления колес транспортного средства с покрытием не ниже 0,4 </w:t>
      </w:r>
      <w:r>
        <w:rPr>
          <w:rFonts w:ascii="Times New Roman" w:hAnsi="Times New Roman"/>
          <w:i/>
          <w:sz w:val="28"/>
          <w:szCs w:val="28"/>
          <w:u w:val="single"/>
        </w:rPr>
        <w:t>соответствуют</w:t>
      </w:r>
      <w:r>
        <w:rPr>
          <w:rFonts w:ascii="Times New Roman" w:hAnsi="Times New Roman"/>
          <w:i/>
          <w:sz w:val="28"/>
          <w:szCs w:val="28"/>
        </w:rPr>
        <w:t>____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оборудования, позволяющего  разметить границы для  выполнения соответствующих заданий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/>
          <w:i/>
          <w:sz w:val="28"/>
          <w:szCs w:val="28"/>
        </w:rPr>
        <w:t>___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Поперечный уклон, обеспечивающий водоотвод    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Продольный уклон (за исключением наклонного участка) не более 100‰   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освещенности    </w:t>
      </w:r>
      <w:r>
        <w:rPr>
          <w:rFonts w:ascii="Times New Roman" w:hAnsi="Times New Roman"/>
          <w:i/>
          <w:sz w:val="28"/>
          <w:szCs w:val="28"/>
          <w:u w:val="single"/>
        </w:rPr>
        <w:t>соответствует</w:t>
      </w:r>
    </w:p>
    <w:p>
      <w:pPr>
        <w:pStyle w:val="Normal"/>
        <w:tabs>
          <w:tab w:val="clear" w:pos="708"/>
          <w:tab w:val="right" w:pos="10205" w:leader="none"/>
        </w:tabs>
        <w:spacing w:before="0" w:after="0"/>
        <w:ind w:left="360" w:hanging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перекрестка (регулируемого или нерегулируемого)   </w:t>
      </w:r>
      <w:r>
        <w:rPr>
          <w:rFonts w:ascii="Times New Roman" w:hAnsi="Times New Roman"/>
          <w:i/>
          <w:sz w:val="28"/>
          <w:szCs w:val="28"/>
          <w:u w:val="single"/>
        </w:rPr>
        <w:t>имеется нерегулируемый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пешеходного перехода   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дорожных знаков (для автодромов)  </w:t>
      </w:r>
      <w:r>
        <w:rPr>
          <w:rFonts w:ascii="Times New Roman" w:hAnsi="Times New Roman"/>
          <w:i/>
          <w:sz w:val="28"/>
          <w:szCs w:val="28"/>
          <w:u w:val="single"/>
        </w:rPr>
        <w:t>оборудован дорожными знаками , изготовленными по ГОСТу Р 52290-2004 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средств организации дорожного движения (для автодромов)    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автодромов)    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</w:p>
    <w:p>
      <w:pPr>
        <w:pStyle w:val="Normal"/>
        <w:spacing w:before="0" w:after="0"/>
        <w:ind w:left="36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Наличие утвержденных технических условий (для автоматизированных автодромов)  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Представленные сведения соответствуют требованиям, предъявляемым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к закрытой площадке </w:t>
      </w:r>
      <w:r>
        <w:rPr>
          <w:rFonts w:ascii="Times New Roman" w:hAnsi="Times New Roman"/>
          <w:i/>
          <w:sz w:val="28"/>
          <w:szCs w:val="28"/>
        </w:rPr>
        <w:t>______________________________________________</w:t>
      </w:r>
    </w:p>
    <w:p>
      <w:pPr>
        <w:pStyle w:val="Normal"/>
        <w:spacing w:lineRule="auto" w:line="360"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Оценка  качества  библиотечно-информационного обеспечения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Имеющаяся в наличии учебная литература и учебно-наглядные пособия позволяют выполнить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подготовку по программам «А», «В», «С», «СЕ», ВУС-837, переподготовку с категории «В» на «С», переподготовку с категории «С» на «В», переподготовку с категории «С» на «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 и ежегодные занятия с водителями автотранспортных организаций - в полном объеме.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Техника группы «А»</w:t>
      </w:r>
    </w:p>
    <w:tbl>
      <w:tblPr>
        <w:tblW w:w="58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683"/>
        <w:gridCol w:w="2052"/>
        <w:gridCol w:w="1070"/>
      </w:tblGrid>
      <w:tr>
        <w:trPr>
          <w:trHeight w:val="20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автомобильной техники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Гос. регистр. знак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выпуска</w:t>
            </w:r>
          </w:p>
        </w:tc>
      </w:tr>
      <w:tr>
        <w:trPr>
          <w:trHeight w:val="40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КамАЗ-43101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6252СК21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>
        <w:trPr>
          <w:trHeight w:val="418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КамАЗ-43118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5996КВ21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>
        <w:trPr>
          <w:trHeight w:val="40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КамАЗ-4350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6260СК21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>
        <w:trPr>
          <w:trHeight w:val="40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КамАЗ-4350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6476СК21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>
        <w:trPr>
          <w:trHeight w:val="200" w:hRule="atLeast"/>
        </w:trPr>
        <w:tc>
          <w:tcPr>
            <w:tcW w:w="5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Автомобили-тренажеры</w:t>
            </w:r>
          </w:p>
        </w:tc>
      </w:tr>
      <w:tr>
        <w:trPr>
          <w:trHeight w:val="418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УРАЛ-43206-0011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0860МК22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>
        <w:trPr>
          <w:trHeight w:val="40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КамАЗ-5350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0858МК22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/>
        <w:drawing>
          <wp:inline distT="0" distB="0" distL="0" distR="0">
            <wp:extent cx="6157595" cy="356997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47" t="29099" r="21512" b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/>
        <w:drawing>
          <wp:inline distT="0" distB="0" distL="0" distR="0">
            <wp:extent cx="6256020" cy="368681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23" t="28297" r="21302" b="2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Техника группы «Б»</w:t>
      </w:r>
    </w:p>
    <w:tbl>
      <w:tblPr>
        <w:tblW w:w="58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683"/>
        <w:gridCol w:w="2052"/>
        <w:gridCol w:w="1070"/>
      </w:tblGrid>
      <w:tr>
        <w:trPr>
          <w:trHeight w:val="619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автомобильной техники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Гос. регистр. знак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выпуска</w:t>
            </w:r>
          </w:p>
        </w:tc>
      </w:tr>
      <w:tr>
        <w:trPr>
          <w:trHeight w:val="619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ВАЗ-211440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Р935АС 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>
        <w:trPr>
          <w:trHeight w:val="602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ВАЗ-21144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О617АА161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>
        <w:trPr>
          <w:trHeight w:val="418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ВАЗ-21102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Н767СМ61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>
        <w:trPr>
          <w:trHeight w:val="602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HYUNDAI XD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Elantra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У313МА61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>
        <w:trPr>
          <w:trHeight w:val="619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SKODA FABIA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954</w:t>
            </w:r>
            <w:r>
              <w:rPr>
                <w:rFonts w:ascii="Times New Roman" w:hAnsi="Times New Roman"/>
                <w:sz w:val="24"/>
                <w:szCs w:val="24"/>
              </w:rPr>
              <w:t>РС161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>
        <w:trPr>
          <w:trHeight w:val="200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SKODA FABIA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Е178СН161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>
        <w:trPr>
          <w:trHeight w:val="619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Lada Granta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Т169РО161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>
        <w:trPr>
          <w:trHeight w:val="714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SKODA FABIA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Х733ТЕ161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>
        <w:trPr>
          <w:trHeight w:val="602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КамАЗ-5320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Е509РЕ161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>
        <w:trPr>
          <w:trHeight w:val="619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м/а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FORD-222702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Е971 ОВ 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</w:tr>
      <w:tr>
        <w:trPr>
          <w:trHeight w:val="40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м/а ГАЗ-322132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А508НР 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2007</w:t>
            </w:r>
          </w:p>
        </w:tc>
      </w:tr>
      <w:tr>
        <w:trPr>
          <w:trHeight w:val="552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КИА-РИО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А949СВ 161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>
        <w:trPr>
          <w:trHeight w:val="451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Мотоцикл    Восход-3м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О563РН61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</w:tr>
      <w:tr>
        <w:trPr>
          <w:trHeight w:val="552" w:hRule="atLeast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Прицеп ГКБ-817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РО116761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</w:tbl>
    <w:p>
      <w:pPr>
        <w:pStyle w:val="Normal"/>
        <w:spacing w:lineRule="auto" w:line="240" w:before="120" w:after="120"/>
        <w:ind w:left="360" w:hanging="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Сведения об оборудовании и технических средствах обучения: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Аппаратно-программный комплекс тестирования и развития психофизиологических качеств водителя (при наличии) </w:t>
      </w:r>
      <w:r>
        <w:rPr>
          <w:rFonts w:ascii="Times New Roman" w:hAnsi="Times New Roman"/>
          <w:i/>
          <w:sz w:val="28"/>
          <w:szCs w:val="28"/>
          <w:u w:val="single"/>
        </w:rPr>
        <w:t>имеется</w:t>
      </w:r>
    </w:p>
    <w:p>
      <w:pPr>
        <w:pStyle w:val="Normal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Марка, модель </w:t>
      </w:r>
      <w:r>
        <w:rPr>
          <w:rFonts w:ascii="Times New Roman" w:hAnsi="Times New Roman"/>
          <w:i/>
          <w:sz w:val="28"/>
          <w:szCs w:val="28"/>
          <w:u w:val="single"/>
        </w:rPr>
        <w:t>АПК Аналитик -Авто</w:t>
      </w:r>
      <w:r>
        <w:rPr>
          <w:rFonts w:ascii="Times New Roman" w:hAnsi="Times New Roman"/>
          <w:sz w:val="28"/>
          <w:szCs w:val="28"/>
        </w:rPr>
        <w:t xml:space="preserve">  серийный номер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АА1-4067 </w:t>
      </w:r>
    </w:p>
    <w:p>
      <w:pPr>
        <w:pStyle w:val="Normal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Производитель </w:t>
      </w:r>
      <w:r>
        <w:rPr>
          <w:rFonts w:ascii="Times New Roman" w:hAnsi="Times New Roman"/>
          <w:i/>
          <w:sz w:val="28"/>
          <w:szCs w:val="28"/>
          <w:u w:val="single"/>
        </w:rPr>
        <w:t>ООО НМЦ Аналитик г. Омск</w:t>
      </w:r>
    </w:p>
    <w:p>
      <w:pPr>
        <w:pStyle w:val="Style2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Наличие утвержденных технических условий </w:t>
      </w:r>
      <w:r>
        <w:rPr>
          <w:color w:val="000000"/>
          <w:sz w:val="28"/>
          <w:szCs w:val="28"/>
          <w:u w:val="single"/>
        </w:rPr>
        <w:t>Аппаратно-программный комплекс тестирования и развития психофизиологических качеств водителя обеспечивает оценку и возможность повышать уровень психофизиологических качеств, необходимых для безопасного управления транспортным средством (профессионально важных качеств), а также формирует навыки саморегуляции его психоэмоционального состояния в процессе управления транспортным средством. Оценка уровня развития профессионально важных качеств производится при помощи компьютерных психодиагностических методик, реализованных на базе АПК с целью повышения достоверности и снижения субъективности в процессе тестирования.</w:t>
      </w:r>
    </w:p>
    <w:p>
      <w:pPr>
        <w:pStyle w:val="Style28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АПК обеспечивает тестирование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монотоноустойчивость). АПК для формирования у водителей навыков саморегуляции психоэмоционального состояния  предоставляет возможности для обучения саморегуляции при наиболее часто встречающихся состояниях: эмоциональной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напряженности, монотонии, утомлении, стрессе и тренировке свойств внимания (концентрации, распределения). Аппаратно-программный комплекс обеспечивает защиту персональных данных.</w:t>
      </w:r>
    </w:p>
    <w:p>
      <w:pPr>
        <w:pStyle w:val="Style28"/>
        <w:ind w:firstLine="708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lineRule="atLeast" w:line="390" w:beforeAutospacing="0" w:before="0" w:afterAutospacing="0" w:after="195"/>
        <w:rPr>
          <w:sz w:val="28"/>
          <w:szCs w:val="28"/>
        </w:rPr>
      </w:pPr>
      <w:r>
        <w:rPr>
          <w:b/>
          <w:bCs/>
          <w:sz w:val="28"/>
          <w:szCs w:val="28"/>
        </w:rPr>
        <w:t>О доступе к информационным системам и информационно-телекоммуникационным сетям.</w:t>
      </w:r>
    </w:p>
    <w:p>
      <w:pPr>
        <w:pStyle w:val="NormalWeb"/>
        <w:shd w:val="clear" w:color="auto" w:fill="FFFFFF"/>
        <w:spacing w:lineRule="atLeast" w:line="390" w:beforeAutospacing="0" w:before="0" w:afterAutospacing="0" w:after="195"/>
        <w:rPr>
          <w:color w:val="5C5C5C"/>
          <w:sz w:val="28"/>
          <w:szCs w:val="28"/>
        </w:rPr>
      </w:pPr>
      <w:r>
        <w:rPr>
          <w:color w:val="454545"/>
          <w:sz w:val="28"/>
          <w:szCs w:val="28"/>
        </w:rPr>
        <w:t>Учебные кабинеты оснащены выходом в Интернет и объединены в локальную сеть. Обучающиеся, педагоги имеют свободный доступ к информационным системам.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питания обучающихся</w:t>
      </w:r>
      <w:r>
        <w:rPr>
          <w:rFonts w:ascii="Times New Roman" w:hAnsi="Times New Roman"/>
          <w:sz w:val="28"/>
          <w:szCs w:val="28"/>
        </w:rPr>
        <w:t xml:space="preserve"> – не предусмотрены</w:t>
      </w:r>
    </w:p>
    <w:p>
      <w:pPr>
        <w:pStyle w:val="NormalWeb"/>
        <w:shd w:val="clear" w:color="auto" w:fill="FFFFFF"/>
        <w:spacing w:lineRule="atLeast" w:line="390" w:beforeAutospacing="0" w:before="0" w:afterAutospacing="0" w:after="195"/>
        <w:rPr>
          <w:color w:val="000000" w:themeColor="text1"/>
          <w:sz w:val="28"/>
          <w:szCs w:val="28"/>
        </w:rPr>
      </w:pPr>
      <w:r>
        <w:rPr>
          <w:rStyle w:val="Strong"/>
          <w:color w:val="000000" w:themeColor="text1"/>
          <w:sz w:val="28"/>
          <w:szCs w:val="28"/>
        </w:rPr>
        <w:t>В Миллеровской АШ созданы условия для инвалидов и лиц с ограниченными возможностями здоровья.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390" w:beforeAutospacing="0" w:before="0" w:afterAutospacing="0" w:after="0"/>
        <w:rPr>
          <w:color w:val="000000" w:themeColor="text1"/>
          <w:sz w:val="28"/>
          <w:szCs w:val="28"/>
        </w:rPr>
      </w:pPr>
      <w:r>
        <w:rPr>
          <w:color w:val="5C5C5C"/>
          <w:sz w:val="28"/>
          <w:szCs w:val="28"/>
        </w:rPr>
        <w:t xml:space="preserve">Вход в образовательную организацию оборудован кнопкой вызова персонала </w:t>
      </w:r>
      <w:r>
        <w:rPr>
          <w:color w:val="000000" w:themeColor="text1"/>
          <w:sz w:val="28"/>
          <w:szCs w:val="28"/>
        </w:rPr>
        <w:t>организации.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390" w:beforeAutospacing="0" w:before="0" w:afterAutospacing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соответствии со СНиП и СП 31-102-99 Требования доступности общественных зданий и сооружений для инвалидов и других маломобильных посетителей, кнопка установлена на высоте -0,85 до 1 м от уровня земли.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390" w:beforeAutospacing="0" w:before="0" w:afterAutospacing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безопасности кнопка работает под напряжением не 220, а 1,5 Вольта, чтобы персонал или человек нажимающий кнопку, не подвергался удару током.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tLeast" w:line="390" w:beforeAutospacing="0" w:before="0" w:afterAutospacing="0" w:after="19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Кнопка вызова персонала для ЛОВЗ расположена так, чтобы колясочник, подъехавший к кнопке, не перекрывал движение обычных посетителей.</w:t>
      </w:r>
    </w:p>
    <w:p>
      <w:pPr>
        <w:pStyle w:val="Normal"/>
        <w:spacing w:lineRule="auto" w:line="240" w:before="120" w:after="120"/>
        <w:rPr>
          <w:rFonts w:ascii="Times New Roman" w:hAnsi="Times New Roman" w:eastAsia="Times New Roman"/>
          <w:b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fill="FFFFFF" w:val="clear"/>
        </w:rPr>
        <w:t>Официальный сайт Учреждения в информационно-телекоммуникационной сети «Интернет» оснащен «версией для слабовидящих».</w:t>
      </w:r>
    </w:p>
    <w:sectPr>
      <w:headerReference w:type="default" r:id="rId7"/>
      <w:type w:val="nextPage"/>
      <w:pgSz w:w="11906" w:h="16838"/>
      <w:pgMar w:left="851" w:right="851" w:gutter="0" w:header="510" w:top="567" w:footer="0" w:bottom="567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2"/>
      <w:spacing w:before="0" w:after="200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97dea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eastAsia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сноски Знак"/>
    <w:basedOn w:val="DefaultParagraphFont"/>
    <w:uiPriority w:val="99"/>
    <w:semiHidden/>
    <w:qFormat/>
    <w:rsid w:val="00397dea"/>
    <w:rPr>
      <w:rFonts w:eastAsia="Times New Roman"/>
      <w:sz w:val="20"/>
      <w:szCs w:val="20"/>
      <w:lang w:eastAsia="ru-RU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uiPriority w:val="99"/>
    <w:semiHidden/>
    <w:unhideWhenUsed/>
    <w:qFormat/>
    <w:rsid w:val="00397dea"/>
    <w:rPr>
      <w:vertAlign w:val="superscript"/>
    </w:rPr>
  </w:style>
  <w:style w:type="character" w:styleId="Style16" w:customStyle="1">
    <w:name w:val="сноска Знак"/>
    <w:link w:val="Style29"/>
    <w:qFormat/>
    <w:rsid w:val="00397dea"/>
    <w:rPr>
      <w:rFonts w:eastAsia="Times New Roman"/>
      <w:sz w:val="16"/>
      <w:szCs w:val="16"/>
    </w:rPr>
  </w:style>
  <w:style w:type="character" w:styleId="Style17">
    <w:name w:val="Интернет-ссылка"/>
    <w:uiPriority w:val="99"/>
    <w:unhideWhenUsed/>
    <w:rsid w:val="00397dea"/>
    <w:rPr>
      <w:color w:val="0000FF"/>
      <w:u w:val="single"/>
    </w:rPr>
  </w:style>
  <w:style w:type="character" w:styleId="Style18" w:customStyle="1">
    <w:name w:val="Текст выноски Знак"/>
    <w:basedOn w:val="DefaultParagraphFont"/>
    <w:link w:val="BalloonText"/>
    <w:uiPriority w:val="99"/>
    <w:semiHidden/>
    <w:qFormat/>
    <w:rsid w:val="00397dea"/>
    <w:rPr>
      <w:rFonts w:ascii="Tahoma" w:hAnsi="Tahoma" w:eastAsia="Calibri"/>
      <w:sz w:val="16"/>
      <w:szCs w:val="16"/>
    </w:rPr>
  </w:style>
  <w:style w:type="character" w:styleId="Style19" w:customStyle="1">
    <w:name w:val="приложение Знак"/>
    <w:link w:val="Style30"/>
    <w:qFormat/>
    <w:rsid w:val="00397dea"/>
    <w:rPr>
      <w:rFonts w:eastAsia="Calibri"/>
      <w:sz w:val="28"/>
      <w:szCs w:val="28"/>
    </w:rPr>
  </w:style>
  <w:style w:type="character" w:styleId="3" w:customStyle="1">
    <w:name w:val="Основной текст с отступом 3 Знак"/>
    <w:basedOn w:val="DefaultParagraphFont"/>
    <w:link w:val="BodyTextIndent3"/>
    <w:qFormat/>
    <w:rsid w:val="00397dea"/>
    <w:rPr>
      <w:rFonts w:eastAsia="Calibri"/>
      <w:bCs/>
      <w:sz w:val="40"/>
      <w:szCs w:val="22"/>
    </w:rPr>
  </w:style>
  <w:style w:type="character" w:styleId="Style20" w:customStyle="1">
    <w:name w:val="Верхний колонтитул Знак"/>
    <w:basedOn w:val="DefaultParagraphFont"/>
    <w:uiPriority w:val="99"/>
    <w:qFormat/>
    <w:rsid w:val="00397dea"/>
    <w:rPr>
      <w:rFonts w:ascii="Calibri" w:hAnsi="Calibri" w:eastAsia="Calibri"/>
      <w:sz w:val="22"/>
      <w:szCs w:val="22"/>
    </w:rPr>
  </w:style>
  <w:style w:type="character" w:styleId="Style21" w:customStyle="1">
    <w:name w:val="Нижний колонтитул Знак"/>
    <w:basedOn w:val="DefaultParagraphFont"/>
    <w:uiPriority w:val="99"/>
    <w:qFormat/>
    <w:rsid w:val="00397dea"/>
    <w:rPr>
      <w:rFonts w:ascii="Calibri" w:hAnsi="Calibri" w:eastAsia="Calibri"/>
      <w:sz w:val="22"/>
      <w:szCs w:val="22"/>
    </w:rPr>
  </w:style>
  <w:style w:type="character" w:styleId="Style22">
    <w:name w:val="Посещённая гиперссылка"/>
    <w:basedOn w:val="DefaultParagraphFont"/>
    <w:uiPriority w:val="99"/>
    <w:semiHidden/>
    <w:unhideWhenUsed/>
    <w:rsid w:val="004f1e2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9586b"/>
    <w:rPr>
      <w:b/>
      <w:bCs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4">
    <w:name w:val="Body Text"/>
    <w:basedOn w:val="Normal"/>
    <w:pPr>
      <w:spacing w:lineRule="auto" w:line="276" w:before="0" w:after="140"/>
    </w:pPr>
    <w:rPr/>
  </w:style>
  <w:style w:type="paragraph" w:styleId="Style25">
    <w:name w:val="List"/>
    <w:basedOn w:val="Style24"/>
    <w:pPr/>
    <w:rPr>
      <w:rFonts w:cs="Arial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8">
    <w:name w:val="Footnote Text"/>
    <w:basedOn w:val="Normal"/>
    <w:link w:val="Style14"/>
    <w:uiPriority w:val="99"/>
    <w:semiHidden/>
    <w:unhideWhenUsed/>
    <w:rsid w:val="00397dea"/>
    <w:pPr>
      <w:spacing w:lineRule="auto" w:line="240" w:before="0" w:after="0"/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397dea"/>
    <w:pPr>
      <w:spacing w:before="0" w:after="200"/>
      <w:ind w:left="720" w:hanging="0"/>
      <w:contextualSpacing/>
    </w:pPr>
    <w:rPr/>
  </w:style>
  <w:style w:type="paragraph" w:styleId="Style29" w:customStyle="1">
    <w:name w:val="сноска"/>
    <w:basedOn w:val="Style28"/>
    <w:link w:val="Style16"/>
    <w:qFormat/>
    <w:rsid w:val="00397dea"/>
    <w:pPr/>
    <w:rPr>
      <w:sz w:val="16"/>
      <w:szCs w:val="16"/>
    </w:rPr>
  </w:style>
  <w:style w:type="paragraph" w:styleId="BalloonText">
    <w:name w:val="Balloon Text"/>
    <w:basedOn w:val="Normal"/>
    <w:link w:val="Style18"/>
    <w:uiPriority w:val="99"/>
    <w:semiHidden/>
    <w:unhideWhenUsed/>
    <w:qFormat/>
    <w:rsid w:val="00397dea"/>
    <w:pPr>
      <w:spacing w:lineRule="auto" w:line="240" w:before="0" w:after="0"/>
    </w:pPr>
    <w:rPr>
      <w:rFonts w:ascii="Tahoma" w:hAnsi="Tahoma"/>
      <w:sz w:val="16"/>
      <w:szCs w:val="16"/>
    </w:rPr>
  </w:style>
  <w:style w:type="paragraph" w:styleId="Style30" w:customStyle="1">
    <w:name w:val="приложение"/>
    <w:basedOn w:val="Normal"/>
    <w:link w:val="Style19"/>
    <w:qFormat/>
    <w:rsid w:val="00397dea"/>
    <w:pPr>
      <w:spacing w:lineRule="auto" w:line="240" w:before="0" w:after="0"/>
      <w:ind w:left="5040" w:hanging="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BodyTextIndent3">
    <w:name w:val="Body Text Indent 3"/>
    <w:basedOn w:val="Normal"/>
    <w:link w:val="3"/>
    <w:qFormat/>
    <w:rsid w:val="00397dea"/>
    <w:pPr>
      <w:spacing w:lineRule="auto" w:line="240" w:before="0" w:after="0"/>
      <w:ind w:firstLine="709"/>
      <w:jc w:val="center"/>
    </w:pPr>
    <w:rPr>
      <w:rFonts w:ascii="Times New Roman" w:hAnsi="Times New Roman"/>
      <w:bCs/>
      <w:sz w:val="40"/>
    </w:rPr>
  </w:style>
  <w:style w:type="paragraph" w:styleId="Style31">
    <w:name w:val="Колонтитул"/>
    <w:basedOn w:val="Normal"/>
    <w:qFormat/>
    <w:pPr/>
    <w:rPr/>
  </w:style>
  <w:style w:type="paragraph" w:styleId="Style32">
    <w:name w:val="Header"/>
    <w:basedOn w:val="Normal"/>
    <w:link w:val="Style20"/>
    <w:uiPriority w:val="99"/>
    <w:unhideWhenUsed/>
    <w:rsid w:val="00397de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3">
    <w:name w:val="Footer"/>
    <w:basedOn w:val="Normal"/>
    <w:link w:val="Style21"/>
    <w:uiPriority w:val="99"/>
    <w:unhideWhenUsed/>
    <w:rsid w:val="00397de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NormalWeb">
    <w:name w:val="Normal (Web)"/>
    <w:basedOn w:val="Normal"/>
    <w:uiPriority w:val="99"/>
    <w:semiHidden/>
    <w:unhideWhenUsed/>
    <w:qFormat/>
    <w:rsid w:val="004f1e21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397dea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7968B-01FF-4BA1-A886-823BFDA9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Application>LibreOffice/7.3.2.2$Windows_X86_64 LibreOffice_project/49f2b1bff42cfccbd8f788c8dc32c1c309559be0</Application>
  <AppVersion>15.0000</AppVersion>
  <Pages>7</Pages>
  <Words>924</Words>
  <Characters>6856</Characters>
  <CharactersWithSpaces>7705</CharactersWithSpaces>
  <Paragraphs>164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2014-10-16T04:23:00Z</dcterms:created>
  <dc:creator>Пользователь</dc:creator>
  <dc:description/>
  <dc:language>ru-RU</dc:language>
  <cp:lastModifiedBy/>
  <cp:lastPrinted>2022-02-02T11:58:00Z</cp:lastPrinted>
  <dcterms:modified xsi:type="dcterms:W3CDTF">2022-04-13T22:08:59Z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